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EF62" w14:textId="504481B7" w:rsidR="00B74C2C" w:rsidRPr="00347950" w:rsidRDefault="00B03637" w:rsidP="00B03637">
      <w:pPr>
        <w:pStyle w:val="Title"/>
        <w:rPr>
          <w:color w:val="7ACC00" w:themeColor="accent1"/>
        </w:rPr>
      </w:pPr>
      <w:r w:rsidRPr="00347950">
        <w:rPr>
          <w:color w:val="7ACC00" w:themeColor="accent1"/>
        </w:rPr>
        <w:t>202</w:t>
      </w:r>
      <w:r w:rsidR="001B18E3">
        <w:rPr>
          <w:color w:val="7ACC00" w:themeColor="accent1"/>
        </w:rPr>
        <w:t>6</w:t>
      </w:r>
      <w:r w:rsidRPr="00347950">
        <w:rPr>
          <w:color w:val="7ACC00" w:themeColor="accent1"/>
        </w:rPr>
        <w:t xml:space="preserve"> Defined Contribution Plan</w:t>
      </w:r>
    </w:p>
    <w:p w14:paraId="24824AB7" w14:textId="696C3585" w:rsidR="00B03637" w:rsidRPr="00347950" w:rsidRDefault="00B03637" w:rsidP="00B03637">
      <w:pPr>
        <w:pStyle w:val="Heading1"/>
        <w:rPr>
          <w:color w:val="3A913F" w:themeColor="accent2"/>
        </w:rPr>
      </w:pPr>
      <w:r w:rsidRPr="00347950">
        <w:rPr>
          <w:color w:val="3A913F" w:themeColor="accent2"/>
        </w:rPr>
        <w:t>10 Year Summary</w:t>
      </w:r>
    </w:p>
    <w:p w14:paraId="4264C675" w14:textId="77777777" w:rsidR="00B03637" w:rsidRDefault="00B03637" w:rsidP="00B03637"/>
    <w:tbl>
      <w:tblPr>
        <w:tblStyle w:val="TableGrid"/>
        <w:tblW w:w="5265" w:type="pct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938"/>
        <w:gridCol w:w="973"/>
        <w:gridCol w:w="969"/>
        <w:gridCol w:w="928"/>
        <w:gridCol w:w="939"/>
        <w:gridCol w:w="990"/>
        <w:gridCol w:w="990"/>
        <w:gridCol w:w="990"/>
        <w:gridCol w:w="990"/>
        <w:gridCol w:w="990"/>
      </w:tblGrid>
      <w:tr w:rsidR="00DE79C7" w14:paraId="30DB14EE" w14:textId="77777777" w:rsidTr="00DE79C7">
        <w:trPr>
          <w:trHeight w:val="549"/>
        </w:trPr>
        <w:tc>
          <w:tcPr>
            <w:tcW w:w="620" w:type="pct"/>
            <w:shd w:val="clear" w:color="auto" w:fill="7ACC00" w:themeFill="accent1"/>
            <w:vAlign w:val="center"/>
          </w:tcPr>
          <w:p w14:paraId="64285D33" w14:textId="77777777" w:rsidR="008F3374" w:rsidRPr="0028218A" w:rsidRDefault="008F3374" w:rsidP="009F01B1">
            <w:pPr>
              <w:rPr>
                <w:b/>
                <w:bCs/>
                <w:color w:val="FFFFFF" w:themeColor="background1"/>
              </w:rPr>
            </w:pPr>
            <w:bookmarkStart w:id="0" w:name="_Hlk215588538"/>
            <w:r w:rsidRPr="0028218A">
              <w:rPr>
                <w:b/>
                <w:bCs/>
                <w:color w:val="FFFFFF" w:themeColor="background1"/>
              </w:rPr>
              <w:t>Type of Limitation</w:t>
            </w:r>
          </w:p>
        </w:tc>
        <w:tc>
          <w:tcPr>
            <w:tcW w:w="424" w:type="pct"/>
            <w:shd w:val="clear" w:color="auto" w:fill="7ACC00" w:themeFill="accent1"/>
            <w:vAlign w:val="center"/>
          </w:tcPr>
          <w:p w14:paraId="7B8C5C91" w14:textId="77777777" w:rsidR="008F3374" w:rsidRPr="0028218A" w:rsidRDefault="008F3374" w:rsidP="009F01B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8218A">
              <w:rPr>
                <w:b/>
                <w:bCs/>
                <w:color w:val="FFFFFF" w:themeColor="background1"/>
                <w:sz w:val="28"/>
                <w:szCs w:val="28"/>
              </w:rPr>
              <w:t>202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440" w:type="pct"/>
            <w:shd w:val="clear" w:color="auto" w:fill="7ACC00" w:themeFill="accent1"/>
            <w:vAlign w:val="center"/>
          </w:tcPr>
          <w:p w14:paraId="52C82E38" w14:textId="77777777" w:rsidR="008F3374" w:rsidRPr="0028218A" w:rsidRDefault="008F3374" w:rsidP="009F01B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8218A">
              <w:rPr>
                <w:b/>
                <w:bCs/>
                <w:color w:val="FFFFFF" w:themeColor="background1"/>
                <w:sz w:val="28"/>
                <w:szCs w:val="28"/>
              </w:rPr>
              <w:t>202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438" w:type="pct"/>
            <w:shd w:val="clear" w:color="auto" w:fill="7ACC00" w:themeFill="accent1"/>
            <w:vAlign w:val="center"/>
          </w:tcPr>
          <w:p w14:paraId="64A20ACF" w14:textId="77777777" w:rsidR="008F3374" w:rsidRPr="0028218A" w:rsidRDefault="008F3374" w:rsidP="009F01B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8218A">
              <w:rPr>
                <w:b/>
                <w:bCs/>
                <w:color w:val="FFFFFF" w:themeColor="background1"/>
                <w:sz w:val="28"/>
                <w:szCs w:val="28"/>
              </w:rPr>
              <w:t>202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419" w:type="pct"/>
            <w:shd w:val="clear" w:color="auto" w:fill="7ACC00" w:themeFill="accent1"/>
            <w:vAlign w:val="center"/>
          </w:tcPr>
          <w:p w14:paraId="378599B1" w14:textId="77777777" w:rsidR="008F3374" w:rsidRPr="0028218A" w:rsidRDefault="008F3374" w:rsidP="009F01B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8218A">
              <w:rPr>
                <w:b/>
                <w:bCs/>
                <w:color w:val="FFFFFF" w:themeColor="background1"/>
                <w:sz w:val="28"/>
                <w:szCs w:val="28"/>
              </w:rPr>
              <w:t>202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424" w:type="pct"/>
            <w:shd w:val="clear" w:color="auto" w:fill="7ACC00" w:themeFill="accent1"/>
            <w:vAlign w:val="center"/>
          </w:tcPr>
          <w:p w14:paraId="1B65E3C2" w14:textId="77777777" w:rsidR="008F3374" w:rsidRPr="0028218A" w:rsidRDefault="008F3374" w:rsidP="009F01B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8218A">
              <w:rPr>
                <w:b/>
                <w:bCs/>
                <w:color w:val="FFFFFF" w:themeColor="background1"/>
                <w:sz w:val="28"/>
                <w:szCs w:val="28"/>
              </w:rPr>
              <w:t>202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447" w:type="pct"/>
            <w:shd w:val="clear" w:color="auto" w:fill="7ACC00" w:themeFill="accent1"/>
            <w:vAlign w:val="center"/>
          </w:tcPr>
          <w:p w14:paraId="2EDF55C1" w14:textId="77777777" w:rsidR="008F3374" w:rsidRPr="0028218A" w:rsidRDefault="008F3374" w:rsidP="009F01B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8218A">
              <w:rPr>
                <w:b/>
                <w:bCs/>
                <w:color w:val="FFFFFF" w:themeColor="background1"/>
                <w:sz w:val="28"/>
                <w:szCs w:val="28"/>
              </w:rPr>
              <w:t>202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447" w:type="pct"/>
            <w:shd w:val="clear" w:color="auto" w:fill="7ACC00" w:themeFill="accent1"/>
            <w:vAlign w:val="center"/>
          </w:tcPr>
          <w:p w14:paraId="48E9A381" w14:textId="77777777" w:rsidR="008F3374" w:rsidRPr="0028218A" w:rsidRDefault="008F3374" w:rsidP="009F01B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8218A">
              <w:rPr>
                <w:b/>
                <w:bCs/>
                <w:color w:val="FFFFFF" w:themeColor="background1"/>
                <w:sz w:val="28"/>
                <w:szCs w:val="28"/>
              </w:rPr>
              <w:t>20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447" w:type="pct"/>
            <w:shd w:val="clear" w:color="auto" w:fill="7ACC00" w:themeFill="accent1"/>
            <w:vAlign w:val="center"/>
          </w:tcPr>
          <w:p w14:paraId="46327643" w14:textId="77777777" w:rsidR="008F3374" w:rsidRPr="0028218A" w:rsidRDefault="008F3374" w:rsidP="009F01B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8218A">
              <w:rPr>
                <w:b/>
                <w:bCs/>
                <w:color w:val="FFFFFF" w:themeColor="background1"/>
                <w:sz w:val="28"/>
                <w:szCs w:val="28"/>
              </w:rPr>
              <w:t>201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447" w:type="pct"/>
            <w:shd w:val="clear" w:color="auto" w:fill="7ACC00" w:themeFill="accent1"/>
            <w:vAlign w:val="center"/>
          </w:tcPr>
          <w:p w14:paraId="18EFBF7C" w14:textId="77777777" w:rsidR="008F3374" w:rsidRPr="0028218A" w:rsidRDefault="008F3374" w:rsidP="009F01B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8218A">
              <w:rPr>
                <w:b/>
                <w:bCs/>
                <w:color w:val="FFFFFF" w:themeColor="background1"/>
                <w:sz w:val="28"/>
                <w:szCs w:val="28"/>
              </w:rPr>
              <w:t>201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447" w:type="pct"/>
            <w:shd w:val="clear" w:color="auto" w:fill="7ACC00" w:themeFill="accent1"/>
            <w:vAlign w:val="center"/>
          </w:tcPr>
          <w:p w14:paraId="4091B50A" w14:textId="77777777" w:rsidR="008F3374" w:rsidRPr="0028218A" w:rsidRDefault="008F3374" w:rsidP="009F01B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8218A">
              <w:rPr>
                <w:b/>
                <w:bCs/>
                <w:color w:val="FFFFFF" w:themeColor="background1"/>
                <w:sz w:val="28"/>
                <w:szCs w:val="28"/>
              </w:rPr>
              <w:t>201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DE79C7" w14:paraId="7123DD81" w14:textId="77777777" w:rsidTr="00DE79C7">
        <w:trPr>
          <w:trHeight w:val="729"/>
        </w:trPr>
        <w:tc>
          <w:tcPr>
            <w:tcW w:w="620" w:type="pct"/>
            <w:shd w:val="clear" w:color="auto" w:fill="E7E6E6" w:themeFill="background2"/>
            <w:vAlign w:val="center"/>
          </w:tcPr>
          <w:p w14:paraId="5FBEAF33" w14:textId="77777777" w:rsidR="008F3374" w:rsidRPr="003E20D4" w:rsidRDefault="008F3374" w:rsidP="009F01B1">
            <w:pPr>
              <w:rPr>
                <w:b/>
                <w:bCs/>
                <w:sz w:val="18"/>
                <w:szCs w:val="18"/>
              </w:rPr>
            </w:pPr>
            <w:r w:rsidRPr="003E20D4">
              <w:rPr>
                <w:b/>
                <w:bCs/>
                <w:sz w:val="18"/>
                <w:szCs w:val="18"/>
              </w:rPr>
              <w:t>401(k) Elective Deferrals</w:t>
            </w:r>
          </w:p>
        </w:tc>
        <w:tc>
          <w:tcPr>
            <w:tcW w:w="424" w:type="pct"/>
            <w:shd w:val="clear" w:color="auto" w:fill="E7E6E6" w:themeFill="background2"/>
            <w:vAlign w:val="center"/>
          </w:tcPr>
          <w:p w14:paraId="31540EF8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$2</w:t>
            </w:r>
            <w:r>
              <w:rPr>
                <w:sz w:val="20"/>
                <w:szCs w:val="20"/>
              </w:rPr>
              <w:t>4</w:t>
            </w:r>
            <w:r w:rsidRPr="003479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347950">
              <w:rPr>
                <w:sz w:val="20"/>
                <w:szCs w:val="20"/>
              </w:rPr>
              <w:t>00</w:t>
            </w:r>
          </w:p>
        </w:tc>
        <w:tc>
          <w:tcPr>
            <w:tcW w:w="440" w:type="pct"/>
            <w:shd w:val="clear" w:color="auto" w:fill="E7E6E6" w:themeFill="background2"/>
            <w:vAlign w:val="center"/>
          </w:tcPr>
          <w:p w14:paraId="00CF18F6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$2</w:t>
            </w:r>
            <w:r>
              <w:rPr>
                <w:sz w:val="20"/>
                <w:szCs w:val="20"/>
              </w:rPr>
              <w:t>3</w:t>
            </w:r>
            <w:r w:rsidRPr="003479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347950">
              <w:rPr>
                <w:sz w:val="20"/>
                <w:szCs w:val="20"/>
              </w:rPr>
              <w:t>00</w:t>
            </w:r>
          </w:p>
        </w:tc>
        <w:tc>
          <w:tcPr>
            <w:tcW w:w="438" w:type="pct"/>
            <w:shd w:val="clear" w:color="auto" w:fill="E7E6E6" w:themeFill="background2"/>
            <w:vAlign w:val="center"/>
          </w:tcPr>
          <w:p w14:paraId="23FD592E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$2</w:t>
            </w:r>
            <w:r>
              <w:rPr>
                <w:sz w:val="20"/>
                <w:szCs w:val="20"/>
              </w:rPr>
              <w:t>3</w:t>
            </w:r>
            <w:r w:rsidRPr="003479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347950">
              <w:rPr>
                <w:sz w:val="20"/>
                <w:szCs w:val="20"/>
              </w:rPr>
              <w:t>00</w:t>
            </w:r>
          </w:p>
        </w:tc>
        <w:tc>
          <w:tcPr>
            <w:tcW w:w="419" w:type="pct"/>
            <w:shd w:val="clear" w:color="auto" w:fill="E7E6E6" w:themeFill="background2"/>
            <w:vAlign w:val="center"/>
          </w:tcPr>
          <w:p w14:paraId="4952FBF3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$2</w:t>
            </w:r>
            <w:r>
              <w:rPr>
                <w:sz w:val="20"/>
                <w:szCs w:val="20"/>
              </w:rPr>
              <w:t>2</w:t>
            </w:r>
            <w:r w:rsidRPr="00347950">
              <w:rPr>
                <w:sz w:val="20"/>
                <w:szCs w:val="20"/>
              </w:rPr>
              <w:t>,500</w:t>
            </w:r>
          </w:p>
        </w:tc>
        <w:tc>
          <w:tcPr>
            <w:tcW w:w="424" w:type="pct"/>
            <w:shd w:val="clear" w:color="auto" w:fill="E7E6E6" w:themeFill="background2"/>
            <w:vAlign w:val="center"/>
          </w:tcPr>
          <w:p w14:paraId="0F986E23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20</w:t>
            </w:r>
            <w:r w:rsidRPr="00347950">
              <w:rPr>
                <w:sz w:val="20"/>
                <w:szCs w:val="20"/>
              </w:rPr>
              <w:t>,500</w:t>
            </w:r>
          </w:p>
        </w:tc>
        <w:tc>
          <w:tcPr>
            <w:tcW w:w="447" w:type="pct"/>
            <w:shd w:val="clear" w:color="auto" w:fill="E7E6E6" w:themeFill="background2"/>
            <w:vAlign w:val="center"/>
          </w:tcPr>
          <w:p w14:paraId="65C5F035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$19,500</w:t>
            </w:r>
          </w:p>
        </w:tc>
        <w:tc>
          <w:tcPr>
            <w:tcW w:w="447" w:type="pct"/>
            <w:shd w:val="clear" w:color="auto" w:fill="E7E6E6" w:themeFill="background2"/>
            <w:vAlign w:val="center"/>
          </w:tcPr>
          <w:p w14:paraId="759D03A2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$19,</w:t>
            </w:r>
            <w:r>
              <w:rPr>
                <w:sz w:val="20"/>
                <w:szCs w:val="20"/>
              </w:rPr>
              <w:t>5</w:t>
            </w:r>
            <w:r w:rsidRPr="00347950">
              <w:rPr>
                <w:sz w:val="20"/>
                <w:szCs w:val="20"/>
              </w:rPr>
              <w:t>00</w:t>
            </w:r>
          </w:p>
        </w:tc>
        <w:tc>
          <w:tcPr>
            <w:tcW w:w="447" w:type="pct"/>
            <w:shd w:val="clear" w:color="auto" w:fill="E7E6E6" w:themeFill="background2"/>
            <w:vAlign w:val="center"/>
          </w:tcPr>
          <w:p w14:paraId="23A14AA6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$1</w:t>
            </w:r>
            <w:r>
              <w:rPr>
                <w:sz w:val="20"/>
                <w:szCs w:val="20"/>
              </w:rPr>
              <w:t>9</w:t>
            </w:r>
            <w:r w:rsidRPr="003479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347950">
              <w:rPr>
                <w:sz w:val="20"/>
                <w:szCs w:val="20"/>
              </w:rPr>
              <w:t>00</w:t>
            </w:r>
          </w:p>
        </w:tc>
        <w:tc>
          <w:tcPr>
            <w:tcW w:w="447" w:type="pct"/>
            <w:shd w:val="clear" w:color="auto" w:fill="E7E6E6" w:themeFill="background2"/>
            <w:vAlign w:val="center"/>
          </w:tcPr>
          <w:p w14:paraId="7DB99240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$18,</w:t>
            </w:r>
            <w:r>
              <w:rPr>
                <w:sz w:val="20"/>
                <w:szCs w:val="20"/>
              </w:rPr>
              <w:t>5</w:t>
            </w:r>
            <w:r w:rsidRPr="00347950">
              <w:rPr>
                <w:sz w:val="20"/>
                <w:szCs w:val="20"/>
              </w:rPr>
              <w:t>00</w:t>
            </w:r>
          </w:p>
        </w:tc>
        <w:tc>
          <w:tcPr>
            <w:tcW w:w="447" w:type="pct"/>
            <w:shd w:val="clear" w:color="auto" w:fill="E7E6E6" w:themeFill="background2"/>
            <w:vAlign w:val="center"/>
          </w:tcPr>
          <w:p w14:paraId="532C9A2F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$18,000</w:t>
            </w:r>
          </w:p>
        </w:tc>
      </w:tr>
      <w:tr w:rsidR="00DE79C7" w14:paraId="5AF3177D" w14:textId="77777777" w:rsidTr="00DE79C7">
        <w:trPr>
          <w:trHeight w:val="990"/>
        </w:trPr>
        <w:tc>
          <w:tcPr>
            <w:tcW w:w="620" w:type="pct"/>
            <w:vAlign w:val="center"/>
          </w:tcPr>
          <w:p w14:paraId="07F5954E" w14:textId="77777777" w:rsidR="008F3374" w:rsidRPr="003E20D4" w:rsidRDefault="008F3374" w:rsidP="009F01B1">
            <w:pPr>
              <w:rPr>
                <w:b/>
                <w:bCs/>
                <w:sz w:val="18"/>
                <w:szCs w:val="18"/>
              </w:rPr>
            </w:pPr>
            <w:bookmarkStart w:id="1" w:name="_Hlk215588769"/>
            <w:r w:rsidRPr="003E20D4">
              <w:rPr>
                <w:b/>
                <w:bCs/>
                <w:sz w:val="18"/>
                <w:szCs w:val="18"/>
              </w:rPr>
              <w:t>Catch-up Contribution Limit</w:t>
            </w:r>
          </w:p>
          <w:p w14:paraId="736D7320" w14:textId="77777777" w:rsidR="008F3374" w:rsidRPr="003E20D4" w:rsidRDefault="008F3374" w:rsidP="009F01B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E20D4">
              <w:rPr>
                <w:b/>
                <w:bCs/>
                <w:i/>
                <w:iCs/>
                <w:sz w:val="18"/>
                <w:szCs w:val="18"/>
              </w:rPr>
              <w:t>(Age 50+)</w:t>
            </w:r>
          </w:p>
        </w:tc>
        <w:tc>
          <w:tcPr>
            <w:tcW w:w="424" w:type="pct"/>
            <w:shd w:val="clear" w:color="auto" w:fill="FFFFFF" w:themeFill="background1"/>
            <w:vAlign w:val="center"/>
          </w:tcPr>
          <w:p w14:paraId="48E68FC1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8</w:t>
            </w:r>
            <w:r w:rsidRPr="003479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347950">
              <w:rPr>
                <w:sz w:val="20"/>
                <w:szCs w:val="20"/>
              </w:rPr>
              <w:t>00</w:t>
            </w:r>
          </w:p>
        </w:tc>
        <w:tc>
          <w:tcPr>
            <w:tcW w:w="440" w:type="pct"/>
            <w:vAlign w:val="center"/>
          </w:tcPr>
          <w:p w14:paraId="5025C624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$7,500</w:t>
            </w:r>
          </w:p>
        </w:tc>
        <w:tc>
          <w:tcPr>
            <w:tcW w:w="438" w:type="pct"/>
            <w:vAlign w:val="center"/>
          </w:tcPr>
          <w:p w14:paraId="542F238D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$7,500</w:t>
            </w:r>
          </w:p>
        </w:tc>
        <w:tc>
          <w:tcPr>
            <w:tcW w:w="419" w:type="pct"/>
            <w:vAlign w:val="center"/>
          </w:tcPr>
          <w:p w14:paraId="2F73B536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7</w:t>
            </w:r>
            <w:r w:rsidRPr="00347950">
              <w:rPr>
                <w:sz w:val="20"/>
                <w:szCs w:val="20"/>
              </w:rPr>
              <w:t>,500</w:t>
            </w:r>
          </w:p>
        </w:tc>
        <w:tc>
          <w:tcPr>
            <w:tcW w:w="424" w:type="pct"/>
            <w:vAlign w:val="center"/>
          </w:tcPr>
          <w:p w14:paraId="04FB9C0E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$6,500</w:t>
            </w:r>
          </w:p>
        </w:tc>
        <w:tc>
          <w:tcPr>
            <w:tcW w:w="447" w:type="pct"/>
            <w:vAlign w:val="center"/>
          </w:tcPr>
          <w:p w14:paraId="439E8AD8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$6,500</w:t>
            </w:r>
          </w:p>
        </w:tc>
        <w:tc>
          <w:tcPr>
            <w:tcW w:w="447" w:type="pct"/>
            <w:vAlign w:val="center"/>
          </w:tcPr>
          <w:p w14:paraId="34415E6E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$6,</w:t>
            </w:r>
            <w:r>
              <w:rPr>
                <w:sz w:val="20"/>
                <w:szCs w:val="20"/>
              </w:rPr>
              <w:t>5</w:t>
            </w:r>
            <w:r w:rsidRPr="00347950">
              <w:rPr>
                <w:sz w:val="20"/>
                <w:szCs w:val="20"/>
              </w:rPr>
              <w:t>00</w:t>
            </w:r>
          </w:p>
        </w:tc>
        <w:tc>
          <w:tcPr>
            <w:tcW w:w="447" w:type="pct"/>
            <w:vAlign w:val="center"/>
          </w:tcPr>
          <w:p w14:paraId="4AD07342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$6,000</w:t>
            </w:r>
          </w:p>
        </w:tc>
        <w:tc>
          <w:tcPr>
            <w:tcW w:w="447" w:type="pct"/>
            <w:vAlign w:val="center"/>
          </w:tcPr>
          <w:p w14:paraId="39E287E3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$6,000</w:t>
            </w:r>
          </w:p>
        </w:tc>
        <w:tc>
          <w:tcPr>
            <w:tcW w:w="447" w:type="pct"/>
            <w:vAlign w:val="center"/>
          </w:tcPr>
          <w:p w14:paraId="4283F24C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$6,000</w:t>
            </w:r>
          </w:p>
        </w:tc>
      </w:tr>
      <w:bookmarkEnd w:id="1"/>
      <w:tr w:rsidR="00DE79C7" w14:paraId="3B6CAE8A" w14:textId="77777777" w:rsidTr="00DE79C7">
        <w:trPr>
          <w:trHeight w:val="810"/>
        </w:trPr>
        <w:tc>
          <w:tcPr>
            <w:tcW w:w="620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3AD8F3FF" w14:textId="77777777" w:rsidR="008F3374" w:rsidRDefault="008F3374" w:rsidP="009F01B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Age 60-63 Super Catch-Up</w:t>
            </w:r>
          </w:p>
        </w:tc>
        <w:tc>
          <w:tcPr>
            <w:tcW w:w="424" w:type="pct"/>
            <w:shd w:val="clear" w:color="auto" w:fill="E7E6E6" w:themeFill="background2"/>
            <w:vAlign w:val="center"/>
          </w:tcPr>
          <w:p w14:paraId="30155275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$3,250</w:t>
            </w:r>
          </w:p>
        </w:tc>
        <w:tc>
          <w:tcPr>
            <w:tcW w:w="440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3D091DA8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$3,750</w:t>
            </w:r>
          </w:p>
        </w:tc>
        <w:tc>
          <w:tcPr>
            <w:tcW w:w="438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21C396FE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419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67844365" w14:textId="77777777" w:rsidR="008F3374" w:rsidRDefault="008F3374" w:rsidP="009F0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581A7193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447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09840639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447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28EF68D0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447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0394BE92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447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7C5F93B1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447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79B1F764" w14:textId="77777777" w:rsidR="008F3374" w:rsidRPr="00347950" w:rsidRDefault="008F3374" w:rsidP="009F0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DE79C7" w14:paraId="0CD78773" w14:textId="77777777" w:rsidTr="00DE79C7">
        <w:trPr>
          <w:trHeight w:val="810"/>
        </w:trPr>
        <w:tc>
          <w:tcPr>
            <w:tcW w:w="620" w:type="pct"/>
            <w:shd w:val="clear" w:color="auto" w:fill="FFFFFF" w:themeFill="background1"/>
            <w:vAlign w:val="center"/>
          </w:tcPr>
          <w:p w14:paraId="70D8FE2E" w14:textId="77777777" w:rsidR="008F3374" w:rsidRDefault="008F3374" w:rsidP="009F01B1">
            <w:pPr>
              <w:ind w:left="-14"/>
              <w:rPr>
                <w:b/>
                <w:bCs/>
                <w:sz w:val="18"/>
                <w:szCs w:val="18"/>
              </w:rPr>
            </w:pPr>
            <w:bookmarkStart w:id="2" w:name="_Hlk181887386"/>
            <w:r>
              <w:rPr>
                <w:b/>
                <w:bCs/>
                <w:sz w:val="18"/>
                <w:szCs w:val="18"/>
              </w:rPr>
              <w:t>401(k) Annual Compensation Limit - Match</w:t>
            </w:r>
          </w:p>
        </w:tc>
        <w:tc>
          <w:tcPr>
            <w:tcW w:w="424" w:type="pct"/>
            <w:shd w:val="clear" w:color="auto" w:fill="FFFFFF" w:themeFill="background1"/>
            <w:vAlign w:val="center"/>
          </w:tcPr>
          <w:p w14:paraId="4F9C1C27" w14:textId="77777777" w:rsidR="008F3374" w:rsidRPr="00862361" w:rsidRDefault="008F3374" w:rsidP="009F01B1">
            <w:pPr>
              <w:jc w:val="center"/>
              <w:rPr>
                <w:sz w:val="18"/>
                <w:szCs w:val="18"/>
              </w:rPr>
            </w:pPr>
            <w:r w:rsidRPr="00862361">
              <w:rPr>
                <w:sz w:val="18"/>
                <w:szCs w:val="18"/>
              </w:rPr>
              <w:t>$3</w:t>
            </w:r>
            <w:r>
              <w:rPr>
                <w:sz w:val="18"/>
                <w:szCs w:val="18"/>
              </w:rPr>
              <w:t>6</w:t>
            </w:r>
            <w:r w:rsidRPr="00862361">
              <w:rPr>
                <w:sz w:val="18"/>
                <w:szCs w:val="18"/>
              </w:rPr>
              <w:t>0,000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14:paraId="32F0DE4F" w14:textId="77777777" w:rsidR="008F3374" w:rsidRPr="00862361" w:rsidRDefault="008F3374" w:rsidP="009F01B1">
            <w:pPr>
              <w:jc w:val="center"/>
              <w:rPr>
                <w:sz w:val="18"/>
                <w:szCs w:val="18"/>
              </w:rPr>
            </w:pPr>
            <w:r w:rsidRPr="00862361">
              <w:rPr>
                <w:sz w:val="18"/>
                <w:szCs w:val="18"/>
              </w:rPr>
              <w:t>$350,000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5D8D43E1" w14:textId="77777777" w:rsidR="008F3374" w:rsidRPr="00862361" w:rsidRDefault="008F3374" w:rsidP="009F01B1">
            <w:pPr>
              <w:jc w:val="center"/>
              <w:rPr>
                <w:sz w:val="18"/>
                <w:szCs w:val="18"/>
              </w:rPr>
            </w:pPr>
            <w:r w:rsidRPr="00862361">
              <w:rPr>
                <w:sz w:val="18"/>
                <w:szCs w:val="18"/>
              </w:rPr>
              <w:t>$345,00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F71FE03" w14:textId="77777777" w:rsidR="008F3374" w:rsidRPr="00862361" w:rsidRDefault="008F3374" w:rsidP="009F01B1">
            <w:pPr>
              <w:jc w:val="center"/>
              <w:rPr>
                <w:sz w:val="18"/>
                <w:szCs w:val="18"/>
              </w:rPr>
            </w:pPr>
            <w:r w:rsidRPr="00862361">
              <w:rPr>
                <w:sz w:val="18"/>
                <w:szCs w:val="18"/>
              </w:rPr>
              <w:t>$330,00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4" w:type="pct"/>
            <w:shd w:val="clear" w:color="auto" w:fill="FFFFFF" w:themeFill="background1"/>
            <w:vAlign w:val="center"/>
          </w:tcPr>
          <w:p w14:paraId="232A6274" w14:textId="77777777" w:rsidR="008F3374" w:rsidRPr="00862361" w:rsidRDefault="008F3374" w:rsidP="009F01B1">
            <w:pPr>
              <w:jc w:val="center"/>
              <w:rPr>
                <w:sz w:val="18"/>
                <w:szCs w:val="18"/>
              </w:rPr>
            </w:pPr>
            <w:r w:rsidRPr="00862361">
              <w:rPr>
                <w:sz w:val="18"/>
                <w:szCs w:val="18"/>
              </w:rPr>
              <w:t>$305,00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47" w:type="pct"/>
            <w:shd w:val="clear" w:color="auto" w:fill="FFFFFF" w:themeFill="background1"/>
            <w:vAlign w:val="center"/>
          </w:tcPr>
          <w:p w14:paraId="2C0FB9CF" w14:textId="77777777" w:rsidR="008F3374" w:rsidRPr="00862361" w:rsidRDefault="008F3374" w:rsidP="009F01B1">
            <w:pPr>
              <w:jc w:val="center"/>
              <w:rPr>
                <w:sz w:val="18"/>
                <w:szCs w:val="18"/>
              </w:rPr>
            </w:pPr>
            <w:r w:rsidRPr="00862361">
              <w:rPr>
                <w:sz w:val="18"/>
                <w:szCs w:val="18"/>
              </w:rPr>
              <w:t>$290,00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47" w:type="pct"/>
            <w:shd w:val="clear" w:color="auto" w:fill="FFFFFF" w:themeFill="background1"/>
            <w:vAlign w:val="center"/>
          </w:tcPr>
          <w:p w14:paraId="7258007B" w14:textId="77777777" w:rsidR="008F3374" w:rsidRPr="00862361" w:rsidRDefault="008F3374" w:rsidP="009F01B1">
            <w:pPr>
              <w:jc w:val="center"/>
              <w:rPr>
                <w:sz w:val="18"/>
                <w:szCs w:val="18"/>
              </w:rPr>
            </w:pPr>
            <w:r w:rsidRPr="00862361">
              <w:rPr>
                <w:sz w:val="18"/>
                <w:szCs w:val="18"/>
              </w:rPr>
              <w:t>$285,00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47" w:type="pct"/>
            <w:shd w:val="clear" w:color="auto" w:fill="FFFFFF" w:themeFill="background1"/>
            <w:vAlign w:val="center"/>
          </w:tcPr>
          <w:p w14:paraId="3517570F" w14:textId="77777777" w:rsidR="008F3374" w:rsidRPr="00862361" w:rsidRDefault="008F3374" w:rsidP="009F01B1">
            <w:pPr>
              <w:jc w:val="center"/>
              <w:rPr>
                <w:sz w:val="18"/>
                <w:szCs w:val="18"/>
              </w:rPr>
            </w:pPr>
            <w:r w:rsidRPr="00862361">
              <w:rPr>
                <w:sz w:val="18"/>
                <w:szCs w:val="18"/>
              </w:rPr>
              <w:t>$280,00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47" w:type="pct"/>
            <w:shd w:val="clear" w:color="auto" w:fill="FFFFFF" w:themeFill="background1"/>
            <w:vAlign w:val="center"/>
          </w:tcPr>
          <w:p w14:paraId="5B73B556" w14:textId="77777777" w:rsidR="008F3374" w:rsidRPr="00862361" w:rsidRDefault="008F3374" w:rsidP="009F01B1">
            <w:pPr>
              <w:jc w:val="center"/>
              <w:rPr>
                <w:sz w:val="18"/>
                <w:szCs w:val="18"/>
              </w:rPr>
            </w:pPr>
            <w:r w:rsidRPr="00862361">
              <w:rPr>
                <w:sz w:val="18"/>
                <w:szCs w:val="18"/>
              </w:rPr>
              <w:t>$275,00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47" w:type="pct"/>
            <w:shd w:val="clear" w:color="auto" w:fill="FFFFFF" w:themeFill="background1"/>
            <w:vAlign w:val="center"/>
          </w:tcPr>
          <w:p w14:paraId="01008AC0" w14:textId="77777777" w:rsidR="008F3374" w:rsidRPr="00862361" w:rsidRDefault="008F3374" w:rsidP="009F01B1">
            <w:pPr>
              <w:jc w:val="center"/>
              <w:rPr>
                <w:sz w:val="18"/>
                <w:szCs w:val="18"/>
              </w:rPr>
            </w:pPr>
            <w:r w:rsidRPr="00862361">
              <w:rPr>
                <w:sz w:val="18"/>
                <w:szCs w:val="18"/>
              </w:rPr>
              <w:t>$270,00</w:t>
            </w:r>
            <w:r>
              <w:rPr>
                <w:sz w:val="18"/>
                <w:szCs w:val="18"/>
              </w:rPr>
              <w:t>0</w:t>
            </w:r>
          </w:p>
        </w:tc>
      </w:tr>
      <w:tr w:rsidR="00DE79C7" w14:paraId="00082668" w14:textId="77777777" w:rsidTr="00DE79C7">
        <w:trPr>
          <w:trHeight w:val="810"/>
        </w:trPr>
        <w:tc>
          <w:tcPr>
            <w:tcW w:w="620" w:type="pct"/>
            <w:shd w:val="clear" w:color="auto" w:fill="E7E6E6" w:themeFill="background2"/>
            <w:vAlign w:val="center"/>
          </w:tcPr>
          <w:p w14:paraId="4373F3E3" w14:textId="77777777" w:rsidR="008F3374" w:rsidRDefault="008F3374" w:rsidP="009F01B1">
            <w:pPr>
              <w:ind w:left="-1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After-Tax Contribution Limit</w:t>
            </w:r>
          </w:p>
        </w:tc>
        <w:tc>
          <w:tcPr>
            <w:tcW w:w="424" w:type="pct"/>
            <w:shd w:val="clear" w:color="auto" w:fill="E7E6E6" w:themeFill="background2"/>
            <w:vAlign w:val="center"/>
          </w:tcPr>
          <w:p w14:paraId="526017C7" w14:textId="77777777" w:rsidR="008F3374" w:rsidRPr="00862361" w:rsidRDefault="008F3374" w:rsidP="009F01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2% of Eligible Comp.</w:t>
            </w:r>
          </w:p>
        </w:tc>
        <w:tc>
          <w:tcPr>
            <w:tcW w:w="440" w:type="pct"/>
            <w:shd w:val="clear" w:color="auto" w:fill="E7E6E6" w:themeFill="background2"/>
            <w:vAlign w:val="center"/>
          </w:tcPr>
          <w:p w14:paraId="4B7D1A63" w14:textId="77777777" w:rsidR="008F3374" w:rsidRPr="00862361" w:rsidRDefault="008F3374" w:rsidP="009F01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38" w:type="pct"/>
            <w:shd w:val="clear" w:color="auto" w:fill="E7E6E6" w:themeFill="background2"/>
            <w:vAlign w:val="center"/>
          </w:tcPr>
          <w:p w14:paraId="196A33CA" w14:textId="77777777" w:rsidR="008F3374" w:rsidRPr="00862361" w:rsidRDefault="008F3374" w:rsidP="009F01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19" w:type="pct"/>
            <w:shd w:val="clear" w:color="auto" w:fill="E7E6E6" w:themeFill="background2"/>
            <w:vAlign w:val="center"/>
          </w:tcPr>
          <w:p w14:paraId="1A518E79" w14:textId="77777777" w:rsidR="008F3374" w:rsidRPr="00862361" w:rsidRDefault="008F3374" w:rsidP="009F01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24" w:type="pct"/>
            <w:shd w:val="clear" w:color="auto" w:fill="E7E6E6" w:themeFill="background2"/>
            <w:vAlign w:val="center"/>
          </w:tcPr>
          <w:p w14:paraId="45D37360" w14:textId="77777777" w:rsidR="008F3374" w:rsidRPr="00862361" w:rsidRDefault="008F3374" w:rsidP="009F01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47" w:type="pct"/>
            <w:shd w:val="clear" w:color="auto" w:fill="E7E6E6" w:themeFill="background2"/>
            <w:vAlign w:val="center"/>
          </w:tcPr>
          <w:p w14:paraId="5BFE0549" w14:textId="77777777" w:rsidR="008F3374" w:rsidRPr="00862361" w:rsidRDefault="008F3374" w:rsidP="009F01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47" w:type="pct"/>
            <w:shd w:val="clear" w:color="auto" w:fill="E7E6E6" w:themeFill="background2"/>
            <w:vAlign w:val="center"/>
          </w:tcPr>
          <w:p w14:paraId="3B1DB270" w14:textId="77777777" w:rsidR="008F3374" w:rsidRPr="00862361" w:rsidRDefault="008F3374" w:rsidP="009F01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47" w:type="pct"/>
            <w:shd w:val="clear" w:color="auto" w:fill="E7E6E6" w:themeFill="background2"/>
            <w:vAlign w:val="center"/>
          </w:tcPr>
          <w:p w14:paraId="7D534242" w14:textId="77777777" w:rsidR="008F3374" w:rsidRPr="00862361" w:rsidRDefault="008F3374" w:rsidP="009F01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47" w:type="pct"/>
            <w:shd w:val="clear" w:color="auto" w:fill="E7E6E6" w:themeFill="background2"/>
            <w:vAlign w:val="center"/>
          </w:tcPr>
          <w:p w14:paraId="7E21DA6E" w14:textId="77777777" w:rsidR="008F3374" w:rsidRPr="00862361" w:rsidRDefault="008F3374" w:rsidP="009F01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47" w:type="pct"/>
            <w:shd w:val="clear" w:color="auto" w:fill="E7E6E6" w:themeFill="background2"/>
            <w:vAlign w:val="center"/>
          </w:tcPr>
          <w:p w14:paraId="73C5A2EC" w14:textId="77777777" w:rsidR="008F3374" w:rsidRPr="00862361" w:rsidRDefault="008F3374" w:rsidP="009F01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bookmarkEnd w:id="0"/>
      <w:bookmarkEnd w:id="2"/>
    </w:tbl>
    <w:p w14:paraId="6F47B0C4" w14:textId="77777777" w:rsidR="007746FE" w:rsidRDefault="007746FE" w:rsidP="00B03637"/>
    <w:p w14:paraId="3096959B" w14:textId="77777777" w:rsidR="00136FA6" w:rsidRPr="00136FA6" w:rsidRDefault="00136FA6" w:rsidP="00136FA6">
      <w:pPr>
        <w:rPr>
          <w:sz w:val="24"/>
          <w:szCs w:val="24"/>
        </w:rPr>
      </w:pPr>
      <w:r w:rsidRPr="00136FA6">
        <w:rPr>
          <w:b/>
          <w:bCs/>
          <w:color w:val="3A913F" w:themeColor="accent2"/>
          <w:sz w:val="24"/>
          <w:szCs w:val="24"/>
        </w:rPr>
        <w:t>After-Tax Contribution:</w:t>
      </w:r>
      <w:r w:rsidRPr="00136FA6">
        <w:rPr>
          <w:sz w:val="24"/>
          <w:szCs w:val="24"/>
        </w:rPr>
        <w:t xml:space="preserve"> Added for 1/1/26, the After-Tax Contribution allows participants to save above and beyond the annual IRS limits. GreenState has elected to cap After-Tax Contributions to 2% of eligible compensation for the first year of this new provision to monitor implications on plan testing. You may utilize the After-Tax Contribution in conjunction with the In-Plan Roth Conversion for a “Super Roth” strategy.</w:t>
      </w:r>
    </w:p>
    <w:p w14:paraId="2D9226F6" w14:textId="0ACA1DE2" w:rsidR="002207FE" w:rsidRDefault="0021394D" w:rsidP="0021394D">
      <w:pPr>
        <w:rPr>
          <w:sz w:val="24"/>
          <w:szCs w:val="24"/>
        </w:rPr>
      </w:pPr>
      <w:r w:rsidRPr="00A05383">
        <w:rPr>
          <w:b/>
          <w:bCs/>
          <w:color w:val="3A913F" w:themeColor="accent2"/>
          <w:sz w:val="24"/>
          <w:szCs w:val="24"/>
        </w:rPr>
        <w:t>A key to retirement security</w:t>
      </w:r>
      <w:r w:rsidRPr="00A05383">
        <w:rPr>
          <w:color w:val="3A913F" w:themeColor="accent2"/>
          <w:sz w:val="24"/>
          <w:szCs w:val="24"/>
        </w:rPr>
        <w:t xml:space="preserve"> </w:t>
      </w:r>
      <w:r w:rsidRPr="002207FE">
        <w:rPr>
          <w:sz w:val="24"/>
          <w:szCs w:val="24"/>
        </w:rPr>
        <w:t xml:space="preserve">is regular increases to your deferral amount. </w:t>
      </w:r>
      <w:r w:rsidRPr="00A05383">
        <w:rPr>
          <w:b/>
          <w:bCs/>
          <w:color w:val="3A913F" w:themeColor="accent2"/>
          <w:sz w:val="24"/>
          <w:szCs w:val="24"/>
        </w:rPr>
        <w:t>One best practice</w:t>
      </w:r>
      <w:r w:rsidRPr="00A05383">
        <w:rPr>
          <w:color w:val="3A913F" w:themeColor="accent2"/>
          <w:sz w:val="24"/>
          <w:szCs w:val="24"/>
        </w:rPr>
        <w:t xml:space="preserve"> </w:t>
      </w:r>
      <w:r w:rsidRPr="002207FE">
        <w:rPr>
          <w:sz w:val="24"/>
          <w:szCs w:val="24"/>
        </w:rPr>
        <w:t xml:space="preserve">is to increase the contribution rate by 1 percent every 6 to 12 months. </w:t>
      </w:r>
    </w:p>
    <w:p w14:paraId="399585DE" w14:textId="20D6C69F" w:rsidR="003B0CD6" w:rsidRPr="002207FE" w:rsidRDefault="0021394D" w:rsidP="0021394D">
      <w:pPr>
        <w:rPr>
          <w:sz w:val="24"/>
          <w:szCs w:val="24"/>
        </w:rPr>
      </w:pPr>
      <w:r w:rsidRPr="002207FE">
        <w:rPr>
          <w:sz w:val="24"/>
          <w:szCs w:val="24"/>
        </w:rPr>
        <w:t xml:space="preserve">These small changes minimize the impact felt in your paycheck but help you </w:t>
      </w:r>
      <w:r w:rsidRPr="003D1FB5">
        <w:rPr>
          <w:b/>
          <w:bCs/>
          <w:color w:val="3A913F" w:themeColor="accent2"/>
          <w:sz w:val="24"/>
          <w:szCs w:val="24"/>
        </w:rPr>
        <w:t>maximize the benefits</w:t>
      </w:r>
      <w:r w:rsidRPr="003D1FB5">
        <w:rPr>
          <w:color w:val="3A913F" w:themeColor="accent2"/>
          <w:sz w:val="24"/>
          <w:szCs w:val="24"/>
        </w:rPr>
        <w:t xml:space="preserve"> </w:t>
      </w:r>
      <w:r w:rsidRPr="002207FE">
        <w:rPr>
          <w:sz w:val="24"/>
          <w:szCs w:val="24"/>
        </w:rPr>
        <w:t>provided by the 401(k) plan</w:t>
      </w:r>
      <w:r w:rsidR="00347950">
        <w:rPr>
          <w:sz w:val="24"/>
          <w:szCs w:val="24"/>
        </w:rPr>
        <w:t>.</w:t>
      </w:r>
    </w:p>
    <w:sectPr w:rsidR="003B0CD6" w:rsidRPr="002207FE" w:rsidSect="00DE79C7">
      <w:headerReference w:type="default" r:id="rId9"/>
      <w:footerReference w:type="default" r:id="rId10"/>
      <w:pgSz w:w="12240" w:h="15840"/>
      <w:pgMar w:top="180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59628" w14:textId="77777777" w:rsidR="00CA2F11" w:rsidRDefault="00CA2F11" w:rsidP="00B03637">
      <w:pPr>
        <w:spacing w:after="0" w:line="240" w:lineRule="auto"/>
      </w:pPr>
      <w:r>
        <w:separator/>
      </w:r>
    </w:p>
  </w:endnote>
  <w:endnote w:type="continuationSeparator" w:id="0">
    <w:p w14:paraId="1DBA41D7" w14:textId="77777777" w:rsidR="00CA2F11" w:rsidRDefault="00CA2F11" w:rsidP="00B0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6ED4" w14:textId="4D72846B" w:rsidR="0028218A" w:rsidRDefault="0028218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D4EE732" wp14:editId="1D8BACA0">
              <wp:simplePos x="0" y="0"/>
              <wp:positionH relativeFrom="column">
                <wp:posOffset>-692134</wp:posOffset>
              </wp:positionH>
              <wp:positionV relativeFrom="paragraph">
                <wp:posOffset>-290830</wp:posOffset>
              </wp:positionV>
              <wp:extent cx="7772400" cy="9144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DE8493" w14:textId="77777777" w:rsidR="00BA4E68" w:rsidRDefault="00BA4E68" w:rsidP="00D85D9D">
                          <w:pPr>
                            <w:spacing w:after="0"/>
                            <w:jc w:val="center"/>
                          </w:pPr>
                        </w:p>
                        <w:p w14:paraId="14D05CE6" w14:textId="1D6AF38D" w:rsidR="0028218A" w:rsidRDefault="00BA4E68" w:rsidP="00D85D9D">
                          <w:pPr>
                            <w:spacing w:after="0"/>
                            <w:jc w:val="center"/>
                          </w:pPr>
                          <w:r w:rsidRPr="00BA4E68">
                            <w:t>202</w:t>
                          </w:r>
                          <w:r w:rsidR="001B18E3">
                            <w:t>6</w:t>
                          </w:r>
                          <w:r w:rsidRPr="00BA4E68">
                            <w:t xml:space="preserve"> </w:t>
                          </w:r>
                          <w:r>
                            <w:t>Defined</w:t>
                          </w:r>
                          <w:r w:rsidRPr="00BA4E68">
                            <w:t xml:space="preserve"> Contribution Plan and IRA</w:t>
                          </w:r>
                          <w:r>
                            <w:t xml:space="preserve"> </w:t>
                          </w:r>
                          <w:r w:rsidRPr="00BA4E68">
                            <w:t>Limits</w:t>
                          </w:r>
                          <w:r>
                            <w:t xml:space="preserve"> </w:t>
                          </w:r>
                          <w:r w:rsidRPr="00BA4E68">
                            <w:rPr>
                              <w:color w:val="7ACC00" w:themeColor="accent1"/>
                            </w:rPr>
                            <w:t>|</w:t>
                          </w:r>
                          <w:r w:rsidRPr="00BA4E68">
                            <w:t xml:space="preserve"> www.greenstatecu</w:t>
                          </w:r>
                          <w:r w:rsidR="003E20D4">
                            <w:t>benefits</w:t>
                          </w:r>
                          <w:r w:rsidRPr="00BA4E68">
                            <w:t>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EE7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4.5pt;margin-top:-22.9pt;width:612pt;height:1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7sGAIAABkEAAAOAAAAZHJzL2Uyb0RvYy54bWysU1FvEzEMfkfiP0R5p9dWLd1OvU6jYwhp&#10;DKTBD/Dlcr2IJA5J2rvy63FyXVfgDfES2bHz2f78ZX0zGM0O0geFtuKzyZQzaQU2yu4q/u3r/Zsr&#10;zkIE24BGKyt+lIHfbF6/WveulHPsUDfSMwKxoexdxbsYXVkUQXTSQJigk5aCLXoDkVy/KxoPPaEb&#10;Xcyn07dFj75xHoUMgW7vxiDfZPy2lSJ+btsgI9MVp95iPn0+63QWmzWUOw+uU+LUBvxDFwaUpaJn&#10;qDuIwPZe/QVllPAYsI0TgabAtlVC5hlomtn0j2meOnAyz0LkBHemKfw/WPF4eHJfPIvDOxxogXmI&#10;4B5QfA/M4rYDu5O33mPfSWio8CxRVvQulKeniepQhgRS95+woSXDPmIGGlpvEis0JyN0WsDxTLoc&#10;IhN0uVqt5osphQTFrmeLZKcSUD6/dj7EDxINS0bFPS01o8PhIcQx9TklFQuoVXOvtM5OEpLcas8O&#10;QBKod+OEem+o1fHuejk9l8y6S+m5gd+QtGU9NbicL3Nxi6lElo9RkTSslan4FUGNYFAmwt7bJqdE&#10;UHq0aS5tTwwm0kb64lAPlJiYrLE5EpceR63S3yKjQ/+Ts550WvHwYw9ecqY/WtpHZoyEnZ3FcjUn&#10;Jv1lpL6MgBUEVfHI2WhuY/4MiSqLt7S3VmVKXzo59Ur6y5yc/koS+KWfs15+9OYXAAAA//8DAFBL&#10;AwQUAAYACAAAACEAot1pbeAAAAAMAQAADwAAAGRycy9kb3ducmV2LnhtbEyPS0/DMBCE70j8B2uR&#10;uLVOIoraEKeKykNcaZG4bmITR/iR2m4b+uvZnsptd2c0+021nqxhRxXi4J2AfJ4BU67zcnC9gM/d&#10;62wJLCZ0Eo13SsCvirCub28qLKU/uQ913KaeUYiLJQrQKY0l57HTymKc+1E50r59sJhoDT2XAU8U&#10;bg0vsuyRWxwcfdA4qo1W3c/2YAWEl01sz/tGF8/pq3lDs9u/D2ch7u+m5glYUlO6muGCT+hQE1Pr&#10;D05GZgTM8mxFZRJNDwsqcbHk+YJOrYDVsgBeV/x/ifoPAAD//wMAUEsBAi0AFAAGAAgAAAAhALaD&#10;OJL+AAAA4QEAABMAAAAAAAAAAAAAAAAAAAAAAFtDb250ZW50X1R5cGVzXS54bWxQSwECLQAUAAYA&#10;CAAAACEAOP0h/9YAAACUAQAACwAAAAAAAAAAAAAAAAAvAQAAX3JlbHMvLnJlbHNQSwECLQAUAAYA&#10;CAAAACEAznnO7BgCAAAZBAAADgAAAAAAAAAAAAAAAAAuAgAAZHJzL2Uyb0RvYy54bWxQSwECLQAU&#10;AAYACAAAACEAot1pbeAAAAAMAQAADwAAAAAAAAAAAAAAAAByBAAAZHJzL2Rvd25yZXYueG1sUEsF&#10;BgAAAAAEAAQA8wAAAH8FAAAAAA==&#10;" fillcolor="#f2f2f2 [3052]" stroked="f">
              <v:textbox>
                <w:txbxContent>
                  <w:p w14:paraId="3BDE8493" w14:textId="77777777" w:rsidR="00BA4E68" w:rsidRDefault="00BA4E68" w:rsidP="00D85D9D">
                    <w:pPr>
                      <w:spacing w:after="0"/>
                      <w:jc w:val="center"/>
                    </w:pPr>
                  </w:p>
                  <w:p w14:paraId="14D05CE6" w14:textId="1D6AF38D" w:rsidR="0028218A" w:rsidRDefault="00BA4E68" w:rsidP="00D85D9D">
                    <w:pPr>
                      <w:spacing w:after="0"/>
                      <w:jc w:val="center"/>
                    </w:pPr>
                    <w:r w:rsidRPr="00BA4E68">
                      <w:t>202</w:t>
                    </w:r>
                    <w:r w:rsidR="001B18E3">
                      <w:t>6</w:t>
                    </w:r>
                    <w:r w:rsidRPr="00BA4E68">
                      <w:t xml:space="preserve"> </w:t>
                    </w:r>
                    <w:r>
                      <w:t>Defined</w:t>
                    </w:r>
                    <w:r w:rsidRPr="00BA4E68">
                      <w:t xml:space="preserve"> Contribution Plan and IRA</w:t>
                    </w:r>
                    <w:r>
                      <w:t xml:space="preserve"> </w:t>
                    </w:r>
                    <w:r w:rsidRPr="00BA4E68">
                      <w:t>Limits</w:t>
                    </w:r>
                    <w:r>
                      <w:t xml:space="preserve"> </w:t>
                    </w:r>
                    <w:r w:rsidRPr="00BA4E68">
                      <w:rPr>
                        <w:color w:val="7ACC00" w:themeColor="accent1"/>
                      </w:rPr>
                      <w:t>|</w:t>
                    </w:r>
                    <w:r w:rsidRPr="00BA4E68">
                      <w:t xml:space="preserve"> www.greenstatecu</w:t>
                    </w:r>
                    <w:r w:rsidR="003E20D4">
                      <w:t>benefits</w:t>
                    </w:r>
                    <w:r w:rsidRPr="00BA4E68">
                      <w:t>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FE9EA" w14:textId="77777777" w:rsidR="00CA2F11" w:rsidRDefault="00CA2F11" w:rsidP="00B03637">
      <w:pPr>
        <w:spacing w:after="0" w:line="240" w:lineRule="auto"/>
      </w:pPr>
      <w:r>
        <w:separator/>
      </w:r>
    </w:p>
  </w:footnote>
  <w:footnote w:type="continuationSeparator" w:id="0">
    <w:p w14:paraId="451E9E91" w14:textId="77777777" w:rsidR="00CA2F11" w:rsidRDefault="00CA2F11" w:rsidP="00B03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7A25" w14:textId="31863D39" w:rsidR="00B03637" w:rsidRDefault="00B0363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E7811D" wp14:editId="69E2FE10">
          <wp:simplePos x="0" y="0"/>
          <wp:positionH relativeFrom="column">
            <wp:posOffset>4842130</wp:posOffset>
          </wp:positionH>
          <wp:positionV relativeFrom="paragraph">
            <wp:posOffset>-22851</wp:posOffset>
          </wp:positionV>
          <wp:extent cx="1550504" cy="411702"/>
          <wp:effectExtent l="0" t="0" r="0" b="7620"/>
          <wp:wrapNone/>
          <wp:docPr id="3" name="Picture 3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504" cy="4117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A4"/>
    <w:rsid w:val="000247A0"/>
    <w:rsid w:val="00030477"/>
    <w:rsid w:val="0009652E"/>
    <w:rsid w:val="00103F45"/>
    <w:rsid w:val="0012110B"/>
    <w:rsid w:val="001319B3"/>
    <w:rsid w:val="00136FA6"/>
    <w:rsid w:val="00147724"/>
    <w:rsid w:val="001B18E3"/>
    <w:rsid w:val="0021394D"/>
    <w:rsid w:val="002207FE"/>
    <w:rsid w:val="002439F7"/>
    <w:rsid w:val="0028218A"/>
    <w:rsid w:val="00345D3C"/>
    <w:rsid w:val="00347950"/>
    <w:rsid w:val="00360FC6"/>
    <w:rsid w:val="00376DF1"/>
    <w:rsid w:val="003B0CD6"/>
    <w:rsid w:val="003D1FB5"/>
    <w:rsid w:val="003E20D4"/>
    <w:rsid w:val="003F5B82"/>
    <w:rsid w:val="004158AD"/>
    <w:rsid w:val="00420FFE"/>
    <w:rsid w:val="00445406"/>
    <w:rsid w:val="005356D0"/>
    <w:rsid w:val="00542AD6"/>
    <w:rsid w:val="0054745A"/>
    <w:rsid w:val="00602370"/>
    <w:rsid w:val="00734FA2"/>
    <w:rsid w:val="007525A4"/>
    <w:rsid w:val="00761C64"/>
    <w:rsid w:val="007746FE"/>
    <w:rsid w:val="007C622D"/>
    <w:rsid w:val="007E58E4"/>
    <w:rsid w:val="008024D5"/>
    <w:rsid w:val="008655BF"/>
    <w:rsid w:val="008F3374"/>
    <w:rsid w:val="0090000E"/>
    <w:rsid w:val="009249AB"/>
    <w:rsid w:val="00993518"/>
    <w:rsid w:val="009B5459"/>
    <w:rsid w:val="00A05383"/>
    <w:rsid w:val="00A95D92"/>
    <w:rsid w:val="00AE7DD6"/>
    <w:rsid w:val="00B03637"/>
    <w:rsid w:val="00B74C2C"/>
    <w:rsid w:val="00BA4E68"/>
    <w:rsid w:val="00CA2F11"/>
    <w:rsid w:val="00D85D9D"/>
    <w:rsid w:val="00DE79C7"/>
    <w:rsid w:val="00E7518C"/>
    <w:rsid w:val="00EA0C7F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45C19"/>
  <w15:chartTrackingRefBased/>
  <w15:docId w15:val="{7FC1B960-2D0B-4C9C-965F-70532438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B980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637"/>
  </w:style>
  <w:style w:type="paragraph" w:styleId="Footer">
    <w:name w:val="footer"/>
    <w:basedOn w:val="Normal"/>
    <w:link w:val="FooterChar"/>
    <w:uiPriority w:val="99"/>
    <w:unhideWhenUsed/>
    <w:rsid w:val="00B03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637"/>
  </w:style>
  <w:style w:type="character" w:customStyle="1" w:styleId="Heading1Char">
    <w:name w:val="Heading 1 Char"/>
    <w:basedOn w:val="DefaultParagraphFont"/>
    <w:link w:val="Heading1"/>
    <w:uiPriority w:val="9"/>
    <w:rsid w:val="00B03637"/>
    <w:rPr>
      <w:rFonts w:asciiTheme="majorHAnsi" w:eastAsiaTheme="majorEastAsia" w:hAnsiTheme="majorHAnsi" w:cstheme="majorBidi"/>
      <w:color w:val="5B9800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036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47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State 1">
      <a:dk1>
        <a:sysClr val="windowText" lastClr="000000"/>
      </a:dk1>
      <a:lt1>
        <a:sysClr val="window" lastClr="FFFFFF"/>
      </a:lt1>
      <a:dk2>
        <a:srgbClr val="53565A"/>
      </a:dk2>
      <a:lt2>
        <a:srgbClr val="E7E6E6"/>
      </a:lt2>
      <a:accent1>
        <a:srgbClr val="7ACC00"/>
      </a:accent1>
      <a:accent2>
        <a:srgbClr val="3A913F"/>
      </a:accent2>
      <a:accent3>
        <a:srgbClr val="AEABAB"/>
      </a:accent3>
      <a:accent4>
        <a:srgbClr val="F2CD00"/>
      </a:accent4>
      <a:accent5>
        <a:srgbClr val="035F1D"/>
      </a:accent5>
      <a:accent6>
        <a:srgbClr val="FE8F1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760D6D2F9CE499C9247C68EDC461C" ma:contentTypeVersion="6" ma:contentTypeDescription="Create a new document." ma:contentTypeScope="" ma:versionID="91aaec0486db02be352bd3a9dc61eaab">
  <xsd:schema xmlns:xsd="http://www.w3.org/2001/XMLSchema" xmlns:xs="http://www.w3.org/2001/XMLSchema" xmlns:p="http://schemas.microsoft.com/office/2006/metadata/properties" xmlns:ns2="0fc2d980-3a8e-41a7-9709-c406c3dbb3a0" targetNamespace="http://schemas.microsoft.com/office/2006/metadata/properties" ma:root="true" ma:fieldsID="f442902d01d0f82d757b0f436fce24a2" ns2:_="">
    <xsd:import namespace="0fc2d980-3a8e-41a7-9709-c406c3dbb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2d980-3a8e-41a7-9709-c406c3dbb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3938EC-79E1-4CB5-B0B5-B2032A38B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2d980-3a8e-41a7-9709-c406c3dbb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5DFD19-BCFD-4C1E-B21D-44B43E9FD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8249-A659-4119-9B32-BFBDB708E9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1133</Characters>
  <Application>Microsoft Office Word</Application>
  <DocSecurity>0</DocSecurity>
  <Lines>94</Lines>
  <Paragraphs>83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Fiala</dc:creator>
  <cp:keywords/>
  <dc:description/>
  <cp:lastModifiedBy>Kim Wilson</cp:lastModifiedBy>
  <cp:revision>3</cp:revision>
  <dcterms:created xsi:type="dcterms:W3CDTF">2025-12-03T12:10:00Z</dcterms:created>
  <dcterms:modified xsi:type="dcterms:W3CDTF">2025-12-03T12:11:00Z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0x0101005F9760D6D2F9CE499C9247C68EDC461C</vt:lpwstr>
  </property>
  <property fmtid="{D5CDD505-2E9C-101B-9397-08002B2CF9AE}" pid="3" name="MSIP_Label_4e457133-3b7a-49cd-8482-f9c6b10bdda0_Enabled">
    <vt:lpwstr>true</vt:lpwstr>
  </property>
  <property fmtid="{D5CDD505-2E9C-101B-9397-08002B2CF9AE}" pid="4" name="MSIP_Label_4e457133-3b7a-49cd-8482-f9c6b10bdda0_SetDate">
    <vt:lpwstr>2024-11-04T17:26:44Z</vt:lpwstr>
  </property>
  <property fmtid="{D5CDD505-2E9C-101B-9397-08002B2CF9AE}" pid="5" name="MSIP_Label_4e457133-3b7a-49cd-8482-f9c6b10bdda0_Method">
    <vt:lpwstr>Standard</vt:lpwstr>
  </property>
  <property fmtid="{D5CDD505-2E9C-101B-9397-08002B2CF9AE}" pid="6" name="MSIP_Label_4e457133-3b7a-49cd-8482-f9c6b10bdda0_Name">
    <vt:lpwstr>4e457133-3b7a-49cd-8482-f9c6b10bdda0</vt:lpwstr>
  </property>
  <property fmtid="{D5CDD505-2E9C-101B-9397-08002B2CF9AE}" pid="7" name="MSIP_Label_4e457133-3b7a-49cd-8482-f9c6b10bdda0_SiteId">
    <vt:lpwstr>5ca06f8c-18e2-418a-b266-dffb227cfc46</vt:lpwstr>
  </property>
  <property fmtid="{D5CDD505-2E9C-101B-9397-08002B2CF9AE}" pid="8" name="MSIP_Label_4e457133-3b7a-49cd-8482-f9c6b10bdda0_ActionId">
    <vt:lpwstr>db8aa6d7-08b1-4191-992c-3e4b9817a52a</vt:lpwstr>
  </property>
  <property fmtid="{D5CDD505-2E9C-101B-9397-08002B2CF9AE}" pid="9" name="MSIP_Label_4e457133-3b7a-49cd-8482-f9c6b10bdda0_ContentBits">
    <vt:lpwstr>0</vt:lpwstr>
  </property>
</Properties>
</file>